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0C38E" w14:textId="7BBCF2DB" w:rsidR="008F4D14" w:rsidRPr="00DF1DB5" w:rsidRDefault="008F4D14" w:rsidP="008F4D14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bookmarkStart w:id="0" w:name="_GoBack"/>
      <w:bookmarkEnd w:id="0"/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>
        <w:rPr>
          <w:rFonts w:asciiTheme="minorHAnsi" w:hAnsiTheme="minorHAnsi" w:cstheme="minorHAnsi"/>
          <w:b/>
          <w:sz w:val="26"/>
          <w:szCs w:val="26"/>
        </w:rPr>
        <w:t>6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Pr="006E61DF">
        <w:rPr>
          <w:rFonts w:asciiTheme="minorHAnsi" w:hAnsiTheme="minorHAnsi" w:cstheme="minorHAnsi"/>
          <w:b/>
          <w:noProof/>
          <w:sz w:val="26"/>
          <w:szCs w:val="26"/>
        </w:rPr>
        <w:t>R2-190699</w:t>
      </w:r>
      <w:r>
        <w:rPr>
          <w:rFonts w:asciiTheme="minorHAnsi" w:hAnsiTheme="minorHAnsi" w:cstheme="minorHAnsi"/>
          <w:b/>
          <w:noProof/>
          <w:sz w:val="26"/>
          <w:szCs w:val="26"/>
        </w:rPr>
        <w:t>2</w:t>
      </w:r>
    </w:p>
    <w:p w14:paraId="088AFB47" w14:textId="77777777" w:rsidR="008F4D14" w:rsidRPr="008A2209" w:rsidRDefault="008F4D14" w:rsidP="008F4D14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Reno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NV, USA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13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Pr="008A2209">
        <w:rPr>
          <w:rFonts w:asciiTheme="minorHAnsi" w:hAnsiTheme="minorHAnsi" w:cstheme="minorHAnsi"/>
          <w:sz w:val="26"/>
          <w:szCs w:val="26"/>
        </w:rPr>
        <w:t>- 1</w:t>
      </w:r>
      <w:r>
        <w:rPr>
          <w:rFonts w:asciiTheme="minorHAnsi" w:hAnsiTheme="minorHAnsi" w:cstheme="minorHAnsi"/>
          <w:sz w:val="26"/>
          <w:szCs w:val="26"/>
        </w:rPr>
        <w:t>7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8A2209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May</w:t>
      </w:r>
      <w:r w:rsidRPr="008A2209">
        <w:rPr>
          <w:rFonts w:asciiTheme="minorHAnsi" w:hAnsiTheme="minorHAnsi" w:cstheme="minorHAnsi"/>
          <w:sz w:val="26"/>
          <w:szCs w:val="26"/>
        </w:rPr>
        <w:t>, 2019</w:t>
      </w:r>
    </w:p>
    <w:p w14:paraId="46CB7C74" w14:textId="77777777" w:rsidR="002922AE" w:rsidRPr="008F4D14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</w:p>
    <w:p w14:paraId="07723AA5" w14:textId="43506EA6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517D09" w:rsidRPr="00275124">
        <w:rPr>
          <w:rFonts w:asciiTheme="minorHAnsi" w:hAnsiTheme="minorHAnsi" w:cstheme="minorHAnsi"/>
          <w:szCs w:val="22"/>
          <w:lang w:val="en-US"/>
        </w:rPr>
        <w:t>1</w:t>
      </w:r>
      <w:r w:rsidR="009B4384">
        <w:rPr>
          <w:rFonts w:asciiTheme="minorHAnsi" w:hAnsiTheme="minorHAnsi" w:cstheme="minorHAnsi"/>
          <w:szCs w:val="22"/>
          <w:lang w:val="en-US"/>
        </w:rPr>
        <w:t>1.1.2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050B1EE1" w14:textId="4A420299" w:rsidR="00267CC5" w:rsidRPr="00275124" w:rsidRDefault="00FD7B41" w:rsidP="00275124">
      <w:pPr>
        <w:jc w:val="left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4A7EE78D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As part of the IAB node integration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C7F1060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can be provided based on DSCP/IP flow labels.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>the DSCP to backhaul</w:t>
      </w:r>
      <w:r w:rsidR="004B74BF">
        <w:rPr>
          <w:rFonts w:asciiTheme="minorHAnsi" w:hAnsiTheme="minorHAnsi" w:cstheme="minorHAnsi"/>
          <w:sz w:val="22"/>
          <w:lang w:val="en-US"/>
        </w:rPr>
        <w:t xml:space="preserve"> radio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 bearers. </w:t>
      </w:r>
    </w:p>
    <w:p w14:paraId="673F4799" w14:textId="12C8E74A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be used to support LTE eNBs at the IAB site. In this case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backhaul 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00pt" o:ole="">
            <v:imagedata r:id="rId14" o:title=""/>
          </v:shape>
          <o:OLEObject Type="Embed" ProgID="Visio.Drawing.15" ShapeID="_x0000_i1025" DrawAspect="Content" ObjectID="_1618337382" r:id="rId15"/>
        </w:object>
      </w:r>
    </w:p>
    <w:p w14:paraId="7A86EC27" w14:textId="41E2A59B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58BDF25F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supporting W1 interface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331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1"/>
    </w:p>
    <w:p w14:paraId="55FEEBBD" w14:textId="06BB9D47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Toc772332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RLC bearer mapping in the IAB node and Donor DU.</w:t>
      </w:r>
      <w:bookmarkEnd w:id="2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0E4A3F91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772333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relay.</w:t>
      </w:r>
      <w:bookmarkEnd w:id="3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275124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275124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327B2123" w14:textId="5CF3750E" w:rsidR="00A138B2" w:rsidRPr="00275124" w:rsidRDefault="005738C8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275124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A138B2" w:rsidRPr="00275124">
        <w:rPr>
          <w:rFonts w:asciiTheme="minorHAnsi" w:hAnsiTheme="minorHAnsi" w:cstheme="minorHAnsi"/>
          <w:sz w:val="22"/>
        </w:rPr>
        <w:t>Proposal 1</w:t>
      </w:r>
      <w:r w:rsidR="00A138B2"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A138B2" w:rsidRPr="00275124">
        <w:rPr>
          <w:rFonts w:asciiTheme="minorHAnsi" w:hAnsiTheme="minorHAnsi" w:cstheme="minorHAnsi"/>
          <w:sz w:val="22"/>
        </w:rPr>
        <w:t>LTE backhauling should be supported in Rel-16 by IAB nodes providing IP/Eth</w:t>
      </w:r>
      <w:r w:rsidR="00C82726">
        <w:rPr>
          <w:rFonts w:asciiTheme="minorHAnsi" w:hAnsiTheme="minorHAnsi" w:cstheme="minorHAnsi"/>
          <w:sz w:val="22"/>
        </w:rPr>
        <w:t>ernet</w:t>
      </w:r>
      <w:r w:rsidR="00A138B2" w:rsidRPr="00275124">
        <w:rPr>
          <w:rFonts w:asciiTheme="minorHAnsi" w:hAnsiTheme="minorHAnsi" w:cstheme="minorHAnsi"/>
          <w:sz w:val="22"/>
        </w:rPr>
        <w:t xml:space="preserve"> connectivity to LTE eNBs (or LTE DUs). The IP anchor point for the LTE nodes can be supported in the Donor DU.</w:t>
      </w:r>
    </w:p>
    <w:p w14:paraId="38B31BC6" w14:textId="77777777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2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</w:rPr>
        <w:sym w:font="Wingdings" w:char="F0F3"/>
      </w:r>
      <w:r w:rsidRPr="00275124">
        <w:rPr>
          <w:rFonts w:asciiTheme="minorHAnsi" w:hAnsiTheme="minorHAnsi" w:cstheme="minorHAnsi"/>
          <w:sz w:val="22"/>
        </w:rPr>
        <w:t xml:space="preserve"> RLC bearer mapping in the IAB node and Donor DU.</w:t>
      </w:r>
    </w:p>
    <w:p w14:paraId="4A3D4F86" w14:textId="77777777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3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>IP address management can be provided to the LTE nodes using DHCP, e.g. where the IAB node act as a DHCP relay.</w:t>
      </w:r>
    </w:p>
    <w:p w14:paraId="00DD87CF" w14:textId="5810E8AB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fldChar w:fldCharType="end"/>
      </w:r>
    </w:p>
    <w:p w14:paraId="330086C1" w14:textId="77777777" w:rsidR="00610DB3" w:rsidRPr="009B4384" w:rsidRDefault="00610DB3" w:rsidP="00610DB3">
      <w:pPr>
        <w:pStyle w:val="Heading1"/>
        <w:rPr>
          <w:rFonts w:asciiTheme="minorHAnsi" w:hAnsiTheme="minorHAnsi" w:cstheme="minorHAnsi"/>
        </w:rPr>
      </w:pPr>
      <w:r w:rsidRPr="009B4384">
        <w:rPr>
          <w:rFonts w:asciiTheme="minorHAnsi" w:hAnsiTheme="minorHAnsi" w:cstheme="minorHAnsi"/>
        </w:rPr>
        <w:t>References</w:t>
      </w:r>
    </w:p>
    <w:p w14:paraId="363E777A" w14:textId="7B9641AC" w:rsidR="00610DB3" w:rsidRPr="00275124" w:rsidRDefault="00610DB3" w:rsidP="00610DB3">
      <w:pPr>
        <w:rPr>
          <w:rFonts w:asciiTheme="minorHAnsi" w:hAnsiTheme="minorHAnsi" w:cstheme="minorHAnsi"/>
          <w:sz w:val="22"/>
        </w:rPr>
      </w:pPr>
      <w:r w:rsidRPr="009B4384">
        <w:rPr>
          <w:rFonts w:asciiTheme="minorHAnsi" w:hAnsiTheme="minorHAnsi" w:cstheme="minorHAnsi"/>
          <w:sz w:val="22"/>
        </w:rPr>
        <w:t>[1] R</w:t>
      </w:r>
      <w:r w:rsidR="00275124" w:rsidRPr="009B4384">
        <w:rPr>
          <w:rFonts w:asciiTheme="minorHAnsi" w:hAnsiTheme="minorHAnsi" w:cstheme="minorHAnsi"/>
          <w:sz w:val="22"/>
        </w:rPr>
        <w:t>3</w:t>
      </w:r>
      <w:r w:rsidRPr="009B4384">
        <w:rPr>
          <w:rFonts w:asciiTheme="minorHAnsi" w:hAnsiTheme="minorHAnsi" w:cstheme="minorHAnsi"/>
          <w:sz w:val="22"/>
        </w:rPr>
        <w:t>-</w:t>
      </w:r>
      <w:r w:rsidR="006F58B0" w:rsidRPr="009B4384">
        <w:rPr>
          <w:rFonts w:asciiTheme="minorHAnsi" w:hAnsiTheme="minorHAnsi" w:cstheme="minorHAnsi"/>
          <w:sz w:val="22"/>
        </w:rPr>
        <w:t>19</w:t>
      </w:r>
      <w:r w:rsidR="00275124" w:rsidRPr="009B4384">
        <w:rPr>
          <w:rFonts w:asciiTheme="minorHAnsi" w:hAnsiTheme="minorHAnsi" w:cstheme="minorHAnsi"/>
          <w:sz w:val="22"/>
        </w:rPr>
        <w:t>1364</w:t>
      </w:r>
      <w:r w:rsidR="00772E0E" w:rsidRPr="009B4384">
        <w:rPr>
          <w:rFonts w:asciiTheme="minorHAnsi" w:hAnsiTheme="minorHAnsi" w:cstheme="minorHAnsi"/>
          <w:sz w:val="22"/>
        </w:rPr>
        <w:t>;</w:t>
      </w:r>
      <w:r w:rsidRPr="009B4384">
        <w:rPr>
          <w:rFonts w:asciiTheme="minorHAnsi" w:hAnsiTheme="minorHAnsi" w:cstheme="minorHAnsi"/>
          <w:sz w:val="22"/>
        </w:rPr>
        <w:t xml:space="preserve"> </w:t>
      </w:r>
      <w:r w:rsidR="00772E0E" w:rsidRPr="009B4384">
        <w:rPr>
          <w:rFonts w:asciiTheme="minorHAnsi" w:hAnsiTheme="minorHAnsi" w:cstheme="minorHAnsi"/>
          <w:color w:val="333333"/>
          <w:sz w:val="22"/>
          <w:szCs w:val="21"/>
          <w:lang w:val="en"/>
        </w:rPr>
        <w:t>IP Address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 xml:space="preserve"> Assignment for IAB Nodes</w:t>
      </w:r>
      <w:r w:rsidRPr="00275124">
        <w:rPr>
          <w:rFonts w:asciiTheme="minorHAnsi" w:hAnsiTheme="minorHAnsi" w:cstheme="minorHAnsi"/>
          <w:sz w:val="22"/>
        </w:rPr>
        <w:t>, Ericsson, RAN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#10</w:t>
      </w:r>
      <w:r w:rsidR="00275124" w:rsidRPr="00275124">
        <w:rPr>
          <w:rFonts w:asciiTheme="minorHAnsi" w:hAnsiTheme="minorHAnsi" w:cstheme="minorHAnsi"/>
          <w:sz w:val="22"/>
        </w:rPr>
        <w:t>3bis</w:t>
      </w:r>
      <w:r w:rsidR="004F5188">
        <w:rPr>
          <w:rFonts w:asciiTheme="minorHAnsi" w:hAnsiTheme="minorHAnsi" w:cstheme="minorHAnsi"/>
          <w:sz w:val="22"/>
        </w:rPr>
        <w:t>, April 2019</w:t>
      </w:r>
      <w:r w:rsidR="00772E0E" w:rsidRPr="00275124">
        <w:rPr>
          <w:rFonts w:asciiTheme="minorHAnsi" w:hAnsiTheme="minorHAnsi" w:cstheme="minorHAnsi"/>
          <w:sz w:val="22"/>
        </w:rPr>
        <w:t>.</w:t>
      </w:r>
    </w:p>
    <w:p w14:paraId="20B9BC02" w14:textId="77777777" w:rsidR="007213F2" w:rsidRPr="00275124" w:rsidRDefault="007213F2" w:rsidP="00AA0471">
      <w:pPr>
        <w:rPr>
          <w:rFonts w:asciiTheme="minorHAnsi" w:hAnsiTheme="minorHAnsi" w:cstheme="minorHAnsi"/>
          <w:b/>
        </w:rPr>
      </w:pPr>
    </w:p>
    <w:sectPr w:rsidR="007213F2" w:rsidRPr="002751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CADD" w14:textId="77777777" w:rsidR="00865405" w:rsidRDefault="00865405">
      <w:r>
        <w:separator/>
      </w:r>
    </w:p>
  </w:endnote>
  <w:endnote w:type="continuationSeparator" w:id="0">
    <w:p w14:paraId="6A886D78" w14:textId="77777777" w:rsidR="00865405" w:rsidRDefault="0086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8D18" w14:textId="77777777" w:rsidR="00865405" w:rsidRDefault="00865405">
      <w:r>
        <w:separator/>
      </w:r>
    </w:p>
  </w:footnote>
  <w:footnote w:type="continuationSeparator" w:id="0">
    <w:p w14:paraId="1FB37342" w14:textId="77777777" w:rsidR="00865405" w:rsidRDefault="0086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5C14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4D14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317A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384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096B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5NUHHDQN7SK2-1476151046-47460</_dlc_DocId>
    <_dlc_DocIdUrl xmlns="f166a696-7b5b-4ccd-9f0c-ffde0cceec81">
      <Url>https://ericsson.sharepoint.com/sites/star/_layouts/15/DocIdRedir.aspx?ID=5NUHHDQN7SK2-1476151046-47460</Url>
      <Description>5NUHHDQN7SK2-1476151046-47460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A245-E212-4D2C-8A93-C6CE4D680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643573F-02BA-430D-AA31-50F3F254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</TotalTime>
  <Pages>2</Pages>
  <Words>555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Gunnar Mildh</cp:lastModifiedBy>
  <cp:revision>4</cp:revision>
  <cp:lastPrinted>2008-01-31T16:09:00Z</cp:lastPrinted>
  <dcterms:created xsi:type="dcterms:W3CDTF">2019-05-02T19:11:00Z</dcterms:created>
  <dcterms:modified xsi:type="dcterms:W3CDTF">2019-05-02T19:13:00Z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52d22a76-94f6-4acc-a987-0a0e1c872747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